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D83EAE" w14:textId="77777777" w:rsidR="00B920FC" w:rsidRDefault="00000000">
      <w:pPr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 xml:space="preserve">Դաս 1 </w:t>
      </w:r>
    </w:p>
    <w:p w14:paraId="39E96231" w14:textId="77777777" w:rsidR="00B920FC" w:rsidRDefault="00000000">
      <w:pPr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Ուղղանկյունանիստի մակերևույթը և նրա մակերեսը</w:t>
      </w:r>
    </w:p>
    <w:p w14:paraId="4968C87E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Մեր շրջապատում հաճախ ենք հանդիպում տուփի ձև ունեցող առարկաների: Դրանք կարող են պատրաստված լինել տարբեր նյութերից, ունենալ տարբեր գույներ, սակայն տեսքից բոլորը նման են՝ </w:t>
      </w:r>
      <w:r>
        <w:rPr>
          <w:rFonts w:ascii="Tahoma" w:eastAsia="Tahoma" w:hAnsi="Tahoma" w:cs="Tahoma"/>
          <w:i/>
          <w:color w:val="4E4E3F"/>
          <w:sz w:val="24"/>
          <w:szCs w:val="24"/>
        </w:rPr>
        <w:t>տուփեր</w:t>
      </w:r>
      <w:r>
        <w:rPr>
          <w:color w:val="4E4E3F"/>
          <w:sz w:val="24"/>
          <w:szCs w:val="24"/>
        </w:rPr>
        <w:t xml:space="preserve">, </w:t>
      </w:r>
      <w:r>
        <w:rPr>
          <w:rFonts w:ascii="Tahoma" w:eastAsia="Tahoma" w:hAnsi="Tahoma" w:cs="Tahoma"/>
          <w:i/>
          <w:color w:val="4E4E3F"/>
          <w:sz w:val="24"/>
          <w:szCs w:val="24"/>
        </w:rPr>
        <w:t>պահարաններ</w:t>
      </w:r>
      <w:r>
        <w:rPr>
          <w:color w:val="4E4E3F"/>
          <w:sz w:val="24"/>
          <w:szCs w:val="24"/>
        </w:rPr>
        <w:t xml:space="preserve">, </w:t>
      </w:r>
      <w:r>
        <w:rPr>
          <w:rFonts w:ascii="Tahoma" w:eastAsia="Tahoma" w:hAnsi="Tahoma" w:cs="Tahoma"/>
          <w:i/>
          <w:color w:val="4E4E3F"/>
          <w:sz w:val="24"/>
          <w:szCs w:val="24"/>
        </w:rPr>
        <w:t>շենքեր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և այլն:</w:t>
      </w:r>
    </w:p>
    <w:p w14:paraId="53E069AE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color w:val="4E4E3F"/>
          <w:sz w:val="24"/>
          <w:szCs w:val="24"/>
        </w:rPr>
        <w:t xml:space="preserve"> </w:t>
      </w:r>
    </w:p>
    <w:p w14:paraId="6343253B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Դրանք բոլորը հիշեցնում են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 xml:space="preserve">ուղղանկյունանիստ 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(ուղղանկյուն զուգահեռանիստ) կոչվող երկրաչափական մարմինը: Նրա մակերևույթը բաղկացած է </w:t>
      </w:r>
    </w:p>
    <w:p w14:paraId="21F82D4A" w14:textId="77777777" w:rsidR="00B920FC" w:rsidRDefault="00000000">
      <w:pPr>
        <w:shd w:val="clear" w:color="auto" w:fill="FFFFFF"/>
        <w:rPr>
          <w:color w:val="76A900"/>
          <w:sz w:val="29"/>
          <w:szCs w:val="29"/>
        </w:rPr>
      </w:pPr>
      <w:r>
        <w:rPr>
          <w:color w:val="76A900"/>
          <w:sz w:val="29"/>
          <w:szCs w:val="29"/>
        </w:rPr>
        <w:t>6</w:t>
      </w:r>
    </w:p>
    <w:p w14:paraId="48EE3617" w14:textId="77777777" w:rsidR="00B920FC" w:rsidRDefault="00000000">
      <w:pPr>
        <w:shd w:val="clear" w:color="auto" w:fill="FFFFFF"/>
        <w:rPr>
          <w:b/>
          <w:color w:val="76A900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 ուղղանկյուններից, որոնք կոչվում են ուղղանկյունանիստի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նիստեր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: Նիստերի գագաթները կոչվում են ուղղանկյունանիստի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գագաթներ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, իսկ կողմերը՝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կողեր:</w:t>
      </w:r>
    </w:p>
    <w:p w14:paraId="759DF1C2" w14:textId="77777777" w:rsidR="00B920FC" w:rsidRDefault="00000000">
      <w:pPr>
        <w:shd w:val="clear" w:color="auto" w:fill="FFFFFF"/>
        <w:spacing w:before="760" w:after="760"/>
        <w:rPr>
          <w:b/>
          <w:color w:val="4E4E3F"/>
          <w:sz w:val="24"/>
          <w:szCs w:val="24"/>
        </w:rPr>
      </w:pPr>
      <w:r>
        <w:rPr>
          <w:rFonts w:ascii="Tahoma" w:eastAsia="Tahoma" w:hAnsi="Tahoma" w:cs="Tahoma"/>
          <w:b/>
          <w:color w:val="4E4E3F"/>
          <w:sz w:val="24"/>
          <w:szCs w:val="24"/>
        </w:rPr>
        <w:t xml:space="preserve">Երկու նիստեր կոչվում են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հանդիպակաց,</w:t>
      </w:r>
      <w:r>
        <w:rPr>
          <w:rFonts w:ascii="Tahoma" w:eastAsia="Tahoma" w:hAnsi="Tahoma" w:cs="Tahoma"/>
          <w:b/>
          <w:color w:val="4E4E3F"/>
          <w:sz w:val="24"/>
          <w:szCs w:val="24"/>
        </w:rPr>
        <w:t xml:space="preserve"> եթե նրանք չունեն ընդհանուր կող:</w:t>
      </w:r>
    </w:p>
    <w:p w14:paraId="4750A4C6" w14:textId="77777777" w:rsidR="00B920FC" w:rsidRDefault="00000000">
      <w:pPr>
        <w:shd w:val="clear" w:color="auto" w:fill="F3F3F3"/>
        <w:spacing w:before="380" w:after="380"/>
        <w:rPr>
          <w:b/>
          <w:color w:val="76A900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Յուրաքանչյուր երկու հանդիպակաց նիստեր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հավասար են:</w:t>
      </w:r>
    </w:p>
    <w:p w14:paraId="7BCE1F29" w14:textId="77777777" w:rsidR="00B920FC" w:rsidRDefault="00000000">
      <w:pPr>
        <w:shd w:val="clear" w:color="auto" w:fill="FFFFFF"/>
        <w:rPr>
          <w:b/>
          <w:color w:val="76A900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Հանդիպակաց նիստերից երկուսը կոչվում են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հիմքեր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, իսկ մյուս նիստերը՝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կողմնային նիստեր:</w:t>
      </w:r>
    </w:p>
    <w:p w14:paraId="2D8E62EE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color w:val="4E4E3F"/>
          <w:sz w:val="24"/>
          <w:szCs w:val="24"/>
        </w:rPr>
        <w:t xml:space="preserve"> </w:t>
      </w:r>
    </w:p>
    <w:p w14:paraId="4A7601D4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noProof/>
          <w:color w:val="4E4E3F"/>
          <w:sz w:val="24"/>
          <w:szCs w:val="24"/>
        </w:rPr>
        <w:drawing>
          <wp:inline distT="114300" distB="114300" distL="114300" distR="114300" wp14:anchorId="54197958" wp14:editId="7050F67D">
            <wp:extent cx="2501900" cy="3340100"/>
            <wp:effectExtent l="0" t="0" r="0" b="0"/>
            <wp:docPr id="5" name="image2.png" descr="Psk_taisns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Psk_taisnst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01900" cy="3340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4E4E3F"/>
          <w:sz w:val="24"/>
          <w:szCs w:val="24"/>
        </w:rPr>
        <w:t xml:space="preserve"> </w:t>
      </w:r>
    </w:p>
    <w:p w14:paraId="2C30F2CA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color w:val="4E4E3F"/>
          <w:sz w:val="24"/>
          <w:szCs w:val="24"/>
        </w:rPr>
        <w:lastRenderedPageBreak/>
        <w:t xml:space="preserve"> </w:t>
      </w:r>
    </w:p>
    <w:p w14:paraId="6CDF01E0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Ուղղանկյունանիստն ունի </w:t>
      </w:r>
    </w:p>
    <w:p w14:paraId="4257EE0E" w14:textId="77777777" w:rsidR="00B920FC" w:rsidRDefault="00000000">
      <w:pPr>
        <w:shd w:val="clear" w:color="auto" w:fill="FFFFFF"/>
        <w:rPr>
          <w:color w:val="76A900"/>
          <w:sz w:val="29"/>
          <w:szCs w:val="29"/>
        </w:rPr>
      </w:pPr>
      <w:r>
        <w:rPr>
          <w:color w:val="76A900"/>
          <w:sz w:val="29"/>
          <w:szCs w:val="29"/>
        </w:rPr>
        <w:t>6</w:t>
      </w:r>
    </w:p>
    <w:p w14:paraId="42545658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 նիստ (երկու հիմք և չորս կողմնային նիստ), </w:t>
      </w:r>
    </w:p>
    <w:p w14:paraId="38813DD8" w14:textId="77777777" w:rsidR="00B920FC" w:rsidRDefault="00000000">
      <w:pPr>
        <w:shd w:val="clear" w:color="auto" w:fill="FFFFFF"/>
        <w:rPr>
          <w:color w:val="76A900"/>
          <w:sz w:val="29"/>
          <w:szCs w:val="29"/>
        </w:rPr>
      </w:pPr>
      <w:r>
        <w:rPr>
          <w:color w:val="76A900"/>
          <w:sz w:val="29"/>
          <w:szCs w:val="29"/>
        </w:rPr>
        <w:t>12</w:t>
      </w:r>
    </w:p>
    <w:p w14:paraId="512E5312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 կող և </w:t>
      </w:r>
    </w:p>
    <w:p w14:paraId="7935BDF1" w14:textId="77777777" w:rsidR="00B920FC" w:rsidRDefault="00000000">
      <w:pPr>
        <w:shd w:val="clear" w:color="auto" w:fill="FFFFFF"/>
        <w:rPr>
          <w:color w:val="76A900"/>
          <w:sz w:val="29"/>
          <w:szCs w:val="29"/>
        </w:rPr>
      </w:pPr>
      <w:r>
        <w:rPr>
          <w:color w:val="76A900"/>
          <w:sz w:val="29"/>
          <w:szCs w:val="29"/>
        </w:rPr>
        <w:t>8</w:t>
      </w:r>
    </w:p>
    <w:p w14:paraId="1DC4AFAD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 գագաթ: </w:t>
      </w:r>
    </w:p>
    <w:p w14:paraId="1D9453B2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color w:val="4E4E3F"/>
          <w:sz w:val="24"/>
          <w:szCs w:val="24"/>
        </w:rPr>
        <w:t xml:space="preserve"> </w:t>
      </w:r>
    </w:p>
    <w:p w14:paraId="5E5B90F4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Ընդհանուր գագաթ ունեցող կողերը կոչվում են զուգահեռանիստի չափումներ՝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 xml:space="preserve">բարձրություն 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և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լայնություն</w:t>
      </w:r>
      <w:r>
        <w:rPr>
          <w:color w:val="4E4E3F"/>
          <w:sz w:val="24"/>
          <w:szCs w:val="24"/>
        </w:rPr>
        <w:t xml:space="preserve">,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 xml:space="preserve">երկարություն </w:t>
      </w:r>
      <w:r>
        <w:rPr>
          <w:rFonts w:ascii="Tahoma" w:eastAsia="Tahoma" w:hAnsi="Tahoma" w:cs="Tahoma"/>
          <w:color w:val="4E4E3F"/>
          <w:sz w:val="24"/>
          <w:szCs w:val="24"/>
        </w:rPr>
        <w:t>(ներքևի նկարում նշված են կարմիրով):</w:t>
      </w:r>
    </w:p>
    <w:p w14:paraId="79D4D0CE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color w:val="4E4E3F"/>
          <w:sz w:val="24"/>
          <w:szCs w:val="24"/>
        </w:rPr>
        <w:t xml:space="preserve">  </w:t>
      </w:r>
    </w:p>
    <w:p w14:paraId="745B6BD0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noProof/>
          <w:color w:val="4E4E3F"/>
          <w:sz w:val="24"/>
          <w:szCs w:val="24"/>
        </w:rPr>
        <w:drawing>
          <wp:inline distT="114300" distB="114300" distL="114300" distR="114300" wp14:anchorId="6D0D0B39" wp14:editId="2874869D">
            <wp:extent cx="4330700" cy="2311400"/>
            <wp:effectExtent l="0" t="0" r="0" b="0"/>
            <wp:docPr id="4" name="image1.png" descr="Psk_taisnst_dim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Psk_taisnst_dim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30700" cy="2311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24409DD" w14:textId="77777777" w:rsidR="00B920FC" w:rsidRDefault="00000000">
      <w:pPr>
        <w:shd w:val="clear" w:color="auto" w:fill="FFFFFF"/>
        <w:spacing w:before="760" w:after="760"/>
        <w:rPr>
          <w:b/>
          <w:color w:val="4E4E3F"/>
          <w:sz w:val="24"/>
          <w:szCs w:val="24"/>
        </w:rPr>
      </w:pPr>
      <w:r>
        <w:rPr>
          <w:rFonts w:ascii="Tahoma" w:eastAsia="Tahoma" w:hAnsi="Tahoma" w:cs="Tahoma"/>
          <w:b/>
          <w:color w:val="4E4E3F"/>
          <w:sz w:val="24"/>
          <w:szCs w:val="24"/>
        </w:rPr>
        <w:t xml:space="preserve">Ուղղանկյունանիստը, որի բոլոր կողերը հավասար են, կոչվում է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խորանարդ:</w:t>
      </w:r>
      <w:r>
        <w:rPr>
          <w:b/>
          <w:color w:val="4E4E3F"/>
          <w:sz w:val="24"/>
          <w:szCs w:val="24"/>
        </w:rPr>
        <w:t xml:space="preserve"> </w:t>
      </w:r>
    </w:p>
    <w:p w14:paraId="373B5481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Խորանարդի նիստերը իրար հավասար </w:t>
      </w:r>
    </w:p>
    <w:p w14:paraId="7A259E05" w14:textId="77777777" w:rsidR="00B920FC" w:rsidRDefault="00000000">
      <w:pPr>
        <w:shd w:val="clear" w:color="auto" w:fill="FFFFFF"/>
        <w:rPr>
          <w:color w:val="76A900"/>
          <w:sz w:val="29"/>
          <w:szCs w:val="29"/>
        </w:rPr>
      </w:pPr>
      <w:r>
        <w:rPr>
          <w:color w:val="76A900"/>
          <w:sz w:val="29"/>
          <w:szCs w:val="29"/>
        </w:rPr>
        <w:t>6</w:t>
      </w:r>
    </w:p>
    <w:p w14:paraId="102C18C2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 քառակուսիներ են:</w:t>
      </w:r>
    </w:p>
    <w:p w14:paraId="06BE9688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color w:val="4E4E3F"/>
          <w:sz w:val="24"/>
          <w:szCs w:val="24"/>
        </w:rPr>
        <w:t xml:space="preserve"> </w:t>
      </w:r>
    </w:p>
    <w:p w14:paraId="58A1A0E4" w14:textId="77777777" w:rsidR="00B920FC" w:rsidRDefault="00000000">
      <w:pPr>
        <w:shd w:val="clear" w:color="auto" w:fill="FFFFFF"/>
        <w:rPr>
          <w:color w:val="4E4E3F"/>
          <w:sz w:val="24"/>
          <w:szCs w:val="24"/>
        </w:rPr>
      </w:pPr>
      <w:r>
        <w:rPr>
          <w:noProof/>
          <w:color w:val="4E4E3F"/>
          <w:sz w:val="24"/>
          <w:szCs w:val="24"/>
        </w:rPr>
        <w:lastRenderedPageBreak/>
        <w:drawing>
          <wp:inline distT="114300" distB="114300" distL="114300" distR="114300" wp14:anchorId="195D0716" wp14:editId="20E58680">
            <wp:extent cx="2717800" cy="2463800"/>
            <wp:effectExtent l="0" t="0" r="0" b="0"/>
            <wp:docPr id="2" name="image5.png" descr="Cub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 descr="Cube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17800" cy="2463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BA64197" w14:textId="77777777" w:rsidR="00B920FC" w:rsidRDefault="00B920FC">
      <w:pPr>
        <w:rPr>
          <w:sz w:val="28"/>
          <w:szCs w:val="28"/>
        </w:rPr>
      </w:pPr>
    </w:p>
    <w:p w14:paraId="442F13E0" w14:textId="77777777" w:rsidR="00B920FC" w:rsidRDefault="00000000">
      <w:pPr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Առաջադրանքներ</w:t>
      </w:r>
    </w:p>
    <w:p w14:paraId="5D1A3FEE" w14:textId="7F27A098" w:rsidR="00B920FC" w:rsidRDefault="00000000">
      <w:pPr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Ուղղանկյունանիստի չափումներն են՝ 5 սմ, 6 սմ, 4 սմ։ Գտե՛ք նրա մակերույթի մակերեսը։ </w:t>
      </w:r>
      <w:r w:rsidR="00012161">
        <w:rPr>
          <w:rFonts w:ascii="Tahoma" w:eastAsia="Tahoma" w:hAnsi="Tahoma" w:cs="Tahoma"/>
          <w:color w:val="4E4E3F"/>
          <w:sz w:val="24"/>
          <w:szCs w:val="24"/>
          <w:highlight w:val="white"/>
        </w:rPr>
        <w:t>5*4=20  5*6=35   6*4=24  20+35+24=79 79*2=158</w:t>
      </w:r>
    </w:p>
    <w:p w14:paraId="53137935" w14:textId="275614AF" w:rsidR="00B920FC" w:rsidRDefault="00000000">
      <w:pPr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Ուղղանկյունանիստի լայնությունը 2 սմ է, երկարությունը՝ 2 սմ-ով ավելի, իսկ բարձրությունը՝ երկարությունից 1 սմ-ով պակաս։ Գտե՛ք ուղղանկյունանիստի մակերևույթի մակերեսը։ </w:t>
      </w:r>
      <w:r w:rsidR="00012161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2*4=8  4*3=12  2*3=6  8+12+6=26  26*2=52 </w:t>
      </w:r>
    </w:p>
    <w:p w14:paraId="2D1DC7BD" w14:textId="662C7211" w:rsidR="00B920FC" w:rsidRDefault="00000000">
      <w:pPr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Սենյակի պատերը և առաստաղը ներկելու համար անհրաժեշտ ներկի քանակությունը հաշվելու համար սենյակը պատկերացնում են որպես ուղղանկյունանիստ: Հաշվե՛ք, թե ինչքան ներկ կպահանջվի սենյակը վերանորոգելու համար, եթե նրա լայնությունը 4 մ է, երկարությունը` 6 մ, բարձրությունը` 3 մ, իսկ ամեն 1 մ2 -ն ներկելու համար պահանջվում է 1/10կգ ներկ:</w:t>
      </w:r>
      <w:r w:rsidR="00012161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4*3*2=24 3*6*2=36  4*6=24  24+36+24=84  </w:t>
      </w:r>
      <m:oMath>
        <m:r>
          <w:rPr>
            <w:rFonts w:ascii="Cambria Math" w:eastAsia="Tahoma" w:hAnsi="Cambria Math" w:cs="Tahoma"/>
            <w:color w:val="4E4E3F"/>
            <w:sz w:val="24"/>
            <w:szCs w:val="24"/>
          </w:rPr>
          <m:t xml:space="preserve"> </m:t>
        </m:r>
        <m:f>
          <m:fPr>
            <m:ctrlPr>
              <w:rPr>
                <w:rFonts w:ascii="Cambria Math" w:eastAsia="Tahoma" w:hAnsi="Cambria Math" w:cs="Tahoma"/>
                <w:i/>
                <w:color w:val="4E4E3F"/>
                <w:sz w:val="24"/>
                <w:szCs w:val="24"/>
              </w:rPr>
            </m:ctrlPr>
          </m:fPr>
          <m:num>
            <m:r>
              <w:rPr>
                <w:rFonts w:ascii="Cambria Math" w:eastAsia="Tahoma" w:hAnsi="Cambria Math" w:cs="Tahoma"/>
                <w:color w:val="4E4E3F"/>
                <w:sz w:val="24"/>
                <w:szCs w:val="24"/>
              </w:rPr>
              <m:t>84</m:t>
            </m:r>
          </m:num>
          <m:den>
            <m:r>
              <w:rPr>
                <w:rFonts w:ascii="Cambria Math" w:eastAsia="Tahoma" w:hAnsi="Cambria Math" w:cs="Tahoma"/>
                <w:color w:val="4E4E3F"/>
                <w:sz w:val="24"/>
                <w:szCs w:val="24"/>
              </w:rPr>
              <m:t>1</m:t>
            </m:r>
          </m:den>
        </m:f>
        <m:r>
          <w:rPr>
            <w:rFonts w:ascii="Cambria Math" w:eastAsia="Tahoma" w:hAnsi="Cambria Math" w:cs="Tahoma"/>
            <w:color w:val="4E4E3F"/>
            <w:sz w:val="24"/>
            <w:szCs w:val="24"/>
          </w:rPr>
          <m:t>*</m:t>
        </m:r>
        <m:f>
          <m:fPr>
            <m:ctrlPr>
              <w:rPr>
                <w:rFonts w:ascii="Cambria Math" w:eastAsia="Tahoma" w:hAnsi="Cambria Math" w:cs="Tahoma"/>
                <w:i/>
                <w:color w:val="4E4E3F"/>
                <w:sz w:val="24"/>
                <w:szCs w:val="24"/>
              </w:rPr>
            </m:ctrlPr>
          </m:fPr>
          <m:num>
            <m:r>
              <w:rPr>
                <w:rFonts w:ascii="Cambria Math" w:eastAsia="Tahoma" w:hAnsi="Cambria Math" w:cs="Tahoma"/>
                <w:color w:val="4E4E3F"/>
                <w:sz w:val="24"/>
                <w:szCs w:val="24"/>
              </w:rPr>
              <m:t>1</m:t>
            </m:r>
          </m:num>
          <m:den>
            <m:r>
              <w:rPr>
                <w:rFonts w:ascii="Cambria Math" w:eastAsia="Tahoma" w:hAnsi="Cambria Math" w:cs="Tahoma"/>
                <w:color w:val="4E4E3F"/>
                <w:sz w:val="24"/>
                <w:szCs w:val="24"/>
              </w:rPr>
              <m:t>10</m:t>
            </m:r>
          </m:den>
        </m:f>
        <m:r>
          <w:rPr>
            <w:rFonts w:ascii="Cambria Math" w:eastAsia="Tahoma" w:hAnsi="Cambria Math" w:cs="Tahoma"/>
            <w:color w:val="4E4E3F"/>
            <w:sz w:val="24"/>
            <w:szCs w:val="24"/>
          </w:rPr>
          <m:t>=</m:t>
        </m:r>
        <m:f>
          <m:fPr>
            <m:ctrlPr>
              <w:rPr>
                <w:rFonts w:ascii="Cambria Math" w:eastAsia="Tahoma" w:hAnsi="Cambria Math" w:cs="Tahoma"/>
                <w:i/>
                <w:color w:val="4E4E3F"/>
                <w:sz w:val="24"/>
                <w:szCs w:val="24"/>
              </w:rPr>
            </m:ctrlPr>
          </m:fPr>
          <m:num>
            <m:r>
              <w:rPr>
                <w:rFonts w:ascii="Cambria Math" w:eastAsia="Tahoma" w:hAnsi="Cambria Math" w:cs="Tahoma"/>
                <w:color w:val="4E4E3F"/>
                <w:sz w:val="24"/>
                <w:szCs w:val="24"/>
              </w:rPr>
              <m:t>84</m:t>
            </m:r>
          </m:num>
          <m:den>
            <m:r>
              <w:rPr>
                <w:rFonts w:ascii="Cambria Math" w:eastAsia="Tahoma" w:hAnsi="Cambria Math" w:cs="Tahoma"/>
                <w:color w:val="4E4E3F"/>
                <w:sz w:val="24"/>
                <w:szCs w:val="24"/>
              </w:rPr>
              <m:t>10</m:t>
            </m:r>
          </m:den>
        </m:f>
      </m:oMath>
      <w:r w:rsidR="00012161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  </w:t>
      </w:r>
    </w:p>
    <w:p w14:paraId="6A845D32" w14:textId="4F4922B5" w:rsidR="00B920FC" w:rsidRPr="00012161" w:rsidRDefault="00000000">
      <w:pPr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. Ունենք երկու ուղղանկյունանիստ, որոնցից մեկի չափումներն են՝ 3 սմ, 1 սմ, 6 սմ, մյուսինը՝ 2 սմ, 5 սմ, 4 սմ։ Ո՞ր ուղղանկյունանիստի մակերևույթի մակերեսն է ավելի մեծ։</w:t>
      </w:r>
      <w:r w:rsidR="00012161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2 </w:t>
      </w:r>
    </w:p>
    <w:p w14:paraId="7C0CD36B" w14:textId="33F0F864" w:rsidR="00B920FC" w:rsidRDefault="00012161" w:rsidP="00012161">
      <w:pPr>
        <w:shd w:val="clear" w:color="auto" w:fill="FFFFFF"/>
        <w:ind w:left="720"/>
        <w:rPr>
          <w:color w:val="4E4E3F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1    3*1*2=6  3*6*2=36  6*1*2=12   6+36+12=52                                                        2 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2*5*2=20 2*4*2=8  4*5*2=40 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  20+8+40=68</w:t>
      </w:r>
    </w:p>
    <w:p w14:paraId="1317AE21" w14:textId="77777777" w:rsidR="00B920FC" w:rsidRDefault="00B920FC">
      <w:p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0E7FDE04" w14:textId="77777777" w:rsidR="00B920FC" w:rsidRDefault="00B920FC">
      <w:p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5A74F181" w14:textId="77777777" w:rsidR="00B920FC" w:rsidRDefault="00B920FC">
      <w:p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5361C897" w14:textId="77777777" w:rsidR="00B920FC" w:rsidRDefault="00B920FC">
      <w:p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695923D1" w14:textId="77777777" w:rsidR="00B920FC" w:rsidRDefault="00B920FC">
      <w:p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1BBFF666" w14:textId="77777777" w:rsidR="00B920FC" w:rsidRDefault="00B920FC">
      <w:p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2E5C68FE" w14:textId="77777777" w:rsidR="00B920FC" w:rsidRDefault="00B920FC">
      <w:pPr>
        <w:rPr>
          <w:b/>
          <w:color w:val="0000FF"/>
          <w:sz w:val="28"/>
          <w:szCs w:val="28"/>
        </w:rPr>
      </w:pPr>
    </w:p>
    <w:p w14:paraId="2A34AC1F" w14:textId="77777777" w:rsidR="00B920FC" w:rsidRDefault="00000000">
      <w:pPr>
        <w:jc w:val="center"/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Դաս 2</w:t>
      </w:r>
    </w:p>
    <w:p w14:paraId="41BBDE8E" w14:textId="77777777" w:rsidR="00B920FC" w:rsidRDefault="00000000">
      <w:pPr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Ուղղանկյունանիստի ծավալ</w:t>
      </w:r>
    </w:p>
    <w:p w14:paraId="5F55B764" w14:textId="77777777" w:rsidR="00B920FC" w:rsidRDefault="00000000">
      <w:pPr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Առաջադրանքներ</w:t>
      </w:r>
    </w:p>
    <w:p w14:paraId="76694DF1" w14:textId="77777777" w:rsidR="00B920FC" w:rsidRDefault="00B920FC">
      <w:p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40E015DB" w14:textId="77777777" w:rsidR="00B920FC" w:rsidRDefault="00000000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Նվերը փաթեթավորված է խորանարդի ձևով տուփի մեջ: Տուփի նիստերի վրա պետք է ոսկեգույն աստղիկներ կպցնել: Յուրաքանչյուր նիստի վրա պետք է կպցնել </w:t>
      </w:r>
      <w:r>
        <w:rPr>
          <w:color w:val="76A900"/>
          <w:sz w:val="29"/>
          <w:szCs w:val="29"/>
        </w:rPr>
        <w:t>16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աստղիկ: Ընդամենը քանի՞ աստղիկ է պետք:</w:t>
      </w:r>
    </w:p>
    <w:p w14:paraId="6FB33D69" w14:textId="77777777" w:rsidR="00B920FC" w:rsidRDefault="00000000">
      <w:pPr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Հայտնի է, որ խորանարդի բոլոր կողերի գումարը </w:t>
      </w:r>
      <w:r>
        <w:rPr>
          <w:color w:val="76A900"/>
          <w:sz w:val="29"/>
          <w:szCs w:val="29"/>
          <w:highlight w:val="white"/>
        </w:rPr>
        <w:t>204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սմ է: Որոշիր մեկ կողի երկարությունը:</w:t>
      </w:r>
    </w:p>
    <w:p w14:paraId="4A47D097" w14:textId="77777777" w:rsidR="00B920FC" w:rsidRDefault="00000000">
      <w:pPr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Հաշվիր խորանարդի ծավալը, եթե խորանարդի կողը </w:t>
      </w:r>
      <w:r>
        <w:rPr>
          <w:color w:val="76A900"/>
          <w:sz w:val="27"/>
          <w:szCs w:val="27"/>
          <w:highlight w:val="white"/>
        </w:rPr>
        <w:t>4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սմ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է:</w:t>
      </w:r>
    </w:p>
    <w:p w14:paraId="401A1CFA" w14:textId="77777777" w:rsidR="00B920FC" w:rsidRDefault="00B920FC">
      <w:pPr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44D680C8" w14:textId="77777777" w:rsidR="00B920FC" w:rsidRDefault="00000000">
      <w:pPr>
        <w:shd w:val="clear" w:color="auto" w:fill="FFFFFF"/>
        <w:ind w:left="720"/>
        <w:rPr>
          <w:color w:val="4E4E3F"/>
          <w:sz w:val="24"/>
          <w:szCs w:val="24"/>
          <w:highlight w:val="white"/>
        </w:rPr>
      </w:pPr>
      <w:r>
        <w:rPr>
          <w:noProof/>
          <w:color w:val="4E4E3F"/>
          <w:sz w:val="24"/>
          <w:szCs w:val="24"/>
          <w:highlight w:val="white"/>
        </w:rPr>
        <w:drawing>
          <wp:inline distT="114300" distB="114300" distL="114300" distR="114300" wp14:anchorId="2065961F" wp14:editId="743CF0E2">
            <wp:extent cx="1968500" cy="2654300"/>
            <wp:effectExtent l="0" t="0" r="0" b="0"/>
            <wp:docPr id="3" name="image3.png" descr="Psk_taisns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Psk_taisnst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8500" cy="2654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41749F3" w14:textId="77777777" w:rsidR="00B920FC" w:rsidRDefault="00000000">
      <w:pPr>
        <w:shd w:val="clear" w:color="auto" w:fill="FFFFFF"/>
        <w:ind w:left="720"/>
        <w:rPr>
          <w:color w:val="4E4E3F"/>
          <w:sz w:val="24"/>
          <w:szCs w:val="24"/>
          <w:highlight w:val="white"/>
        </w:rPr>
      </w:pPr>
      <w:r>
        <w:rPr>
          <w:color w:val="4E4E3F"/>
          <w:sz w:val="24"/>
          <w:szCs w:val="24"/>
          <w:highlight w:val="white"/>
        </w:rPr>
        <w:t xml:space="preserve"> </w:t>
      </w:r>
    </w:p>
    <w:p w14:paraId="3C7CF28D" w14:textId="77777777" w:rsidR="00B920FC" w:rsidRDefault="00000000">
      <w:pPr>
        <w:shd w:val="clear" w:color="auto" w:fill="FFFFFF"/>
        <w:rPr>
          <w:color w:val="76A900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Հաշվիր ուղղանկյունանիստի հիմքի մակերեսը, եթե նրա բարձրություն </w:t>
      </w:r>
      <w:r>
        <w:rPr>
          <w:color w:val="76A900"/>
          <w:sz w:val="30"/>
          <w:szCs w:val="30"/>
          <w:highlight w:val="white"/>
        </w:rPr>
        <w:t>6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i/>
          <w:color w:val="76A900"/>
          <w:sz w:val="24"/>
          <w:szCs w:val="24"/>
          <w:highlight w:val="white"/>
        </w:rPr>
        <w:t>դմ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է, իսկ ծավալը՝ </w:t>
      </w:r>
      <w:r>
        <w:rPr>
          <w:color w:val="76A900"/>
          <w:sz w:val="30"/>
          <w:szCs w:val="30"/>
          <w:highlight w:val="white"/>
        </w:rPr>
        <w:t>84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դմ3:</w:t>
      </w:r>
    </w:p>
    <w:p w14:paraId="2071EE0E" w14:textId="77777777" w:rsidR="00B920FC" w:rsidRDefault="00000000">
      <w:pPr>
        <w:numPr>
          <w:ilvl w:val="0"/>
          <w:numId w:val="1"/>
        </w:numPr>
        <w:shd w:val="clear" w:color="auto" w:fill="FFFFFF"/>
        <w:rPr>
          <w:color w:val="76A900"/>
          <w:sz w:val="24"/>
          <w:szCs w:val="24"/>
          <w:highlight w:val="white"/>
        </w:rPr>
      </w:pPr>
      <w:r>
        <w:rPr>
          <w:noProof/>
          <w:color w:val="76A900"/>
          <w:sz w:val="24"/>
          <w:szCs w:val="24"/>
          <w:highlight w:val="white"/>
        </w:rPr>
        <w:drawing>
          <wp:inline distT="114300" distB="114300" distL="114300" distR="114300" wp14:anchorId="60F21532" wp14:editId="42240C2F">
            <wp:extent cx="1968500" cy="2654300"/>
            <wp:effectExtent l="0" t="0" r="0" b="0"/>
            <wp:docPr id="1" name="image4.png" descr="Psk_taisns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 descr="Psk_taisnst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8500" cy="2654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Հաշվիր ուղղանկյունանիստի ծավալը, եթե նրա հիմքի կողմերը </w:t>
      </w:r>
      <w:r>
        <w:rPr>
          <w:color w:val="76A900"/>
          <w:sz w:val="30"/>
          <w:szCs w:val="30"/>
          <w:highlight w:val="white"/>
        </w:rPr>
        <w:t>3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մ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և </w:t>
      </w:r>
      <w:r>
        <w:rPr>
          <w:color w:val="76A900"/>
          <w:sz w:val="30"/>
          <w:szCs w:val="30"/>
          <w:highlight w:val="white"/>
        </w:rPr>
        <w:t>10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մ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են, իսկ բարձրությունը </w:t>
      </w:r>
      <w:r>
        <w:rPr>
          <w:color w:val="76A900"/>
          <w:sz w:val="30"/>
          <w:szCs w:val="30"/>
          <w:highlight w:val="white"/>
        </w:rPr>
        <w:t>5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մ:</w:t>
      </w:r>
    </w:p>
    <w:p w14:paraId="4DC658F7" w14:textId="77777777" w:rsidR="00B920FC" w:rsidRDefault="00000000">
      <w:pPr>
        <w:numPr>
          <w:ilvl w:val="0"/>
          <w:numId w:val="1"/>
        </w:numPr>
        <w:shd w:val="clear" w:color="auto" w:fill="FFFFFF"/>
        <w:rPr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Հաշվիր խորանարդի կողի երկարությունը, եթե նրա ծավալը </w:t>
      </w:r>
      <w:r>
        <w:rPr>
          <w:color w:val="76A900"/>
          <w:sz w:val="27"/>
          <w:szCs w:val="27"/>
          <w:highlight w:val="white"/>
        </w:rPr>
        <w:t>512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դմ3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է:</w:t>
      </w:r>
    </w:p>
    <w:p w14:paraId="4D4FD951" w14:textId="77777777" w:rsidR="00B920FC" w:rsidRDefault="00B920FC">
      <w:p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0B50CD40" w14:textId="77777777" w:rsidR="00B920FC" w:rsidRDefault="00B920FC">
      <w:pPr>
        <w:shd w:val="clear" w:color="auto" w:fill="FFFFFF"/>
        <w:ind w:left="720"/>
        <w:rPr>
          <w:color w:val="76A900"/>
          <w:sz w:val="24"/>
          <w:szCs w:val="24"/>
          <w:highlight w:val="white"/>
        </w:rPr>
      </w:pPr>
    </w:p>
    <w:p w14:paraId="35DEB50A" w14:textId="77777777" w:rsidR="00B920FC" w:rsidRDefault="00B920FC">
      <w:p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3BD42197" w14:textId="77777777" w:rsidR="00B920FC" w:rsidRDefault="00B920FC">
      <w:pPr>
        <w:shd w:val="clear" w:color="auto" w:fill="FFFFFF"/>
        <w:ind w:left="720"/>
        <w:rPr>
          <w:sz w:val="28"/>
          <w:szCs w:val="28"/>
        </w:rPr>
      </w:pPr>
    </w:p>
    <w:sectPr w:rsidR="00B920FC">
      <w:headerReference w:type="default" r:id="rId11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DC58A1" w14:textId="77777777" w:rsidR="00BA37EB" w:rsidRDefault="00BA37EB">
      <w:pPr>
        <w:spacing w:line="240" w:lineRule="auto"/>
      </w:pPr>
      <w:r>
        <w:separator/>
      </w:r>
    </w:p>
  </w:endnote>
  <w:endnote w:type="continuationSeparator" w:id="0">
    <w:p w14:paraId="24D13B5F" w14:textId="77777777" w:rsidR="00BA37EB" w:rsidRDefault="00BA37E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fontKey="{5F3B0CDE-1D11-4B5D-8887-6723E68F84B3}"/>
    <w:embedBold r:id="rId2" w:fontKey="{BFAE8FBF-5245-43C4-8B1C-1C69C6D6FDF3}"/>
    <w:embedItalic r:id="rId3" w:fontKey="{C7D5DA44-3F40-421E-B882-BF1D9DE42A3E}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  <w:embedItalic r:id="rId4" w:fontKey="{B953179C-0ABF-43F0-9055-540E03FB7F2D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F8F6E1F0-C95D-45EC-8268-9AE7897B6A05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15EA0AFE-BE54-4506-A127-9F597B4B58E6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31F1A1" w14:textId="77777777" w:rsidR="00BA37EB" w:rsidRDefault="00BA37EB">
      <w:pPr>
        <w:spacing w:line="240" w:lineRule="auto"/>
      </w:pPr>
      <w:r>
        <w:separator/>
      </w:r>
    </w:p>
  </w:footnote>
  <w:footnote w:type="continuationSeparator" w:id="0">
    <w:p w14:paraId="3EC9A505" w14:textId="77777777" w:rsidR="00BA37EB" w:rsidRDefault="00BA37E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61E51D" w14:textId="77777777" w:rsidR="00B920FC" w:rsidRDefault="00B920F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CC354FE"/>
    <w:multiLevelType w:val="multilevel"/>
    <w:tmpl w:val="C56428A6"/>
    <w:lvl w:ilvl="0">
      <w:start w:val="1"/>
      <w:numFmt w:val="decimal"/>
      <w:lvlText w:val="%1."/>
      <w:lvlJc w:val="left"/>
      <w:pPr>
        <w:ind w:left="45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5404421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20FC"/>
    <w:rsid w:val="00012161"/>
    <w:rsid w:val="00B920FC"/>
    <w:rsid w:val="00BA37EB"/>
    <w:rsid w:val="00C65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B56111"/>
  <w15:docId w15:val="{4CD5598C-C102-4EBD-AE75-CA5AD108B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hy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PlaceholderText">
    <w:name w:val="Placeholder Text"/>
    <w:basedOn w:val="DefaultParagraphFont"/>
    <w:uiPriority w:val="99"/>
    <w:semiHidden/>
    <w:rsid w:val="00012161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5</Pages>
  <Words>413</Words>
  <Characters>2360</Characters>
  <Application>Microsoft Office Word</Application>
  <DocSecurity>0</DocSecurity>
  <Lines>19</Lines>
  <Paragraphs>5</Paragraphs>
  <ScaleCrop>false</ScaleCrop>
  <Company/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Armen Avagyan</dc:creator>
  <cp:lastModifiedBy>Ավագյան  Արմեն</cp:lastModifiedBy>
  <cp:revision>2</cp:revision>
  <dcterms:created xsi:type="dcterms:W3CDTF">2025-04-01T19:01:00Z</dcterms:created>
  <dcterms:modified xsi:type="dcterms:W3CDTF">2025-04-01T19:01:00Z</dcterms:modified>
</cp:coreProperties>
</file>